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bidi/>
        <w:jc w:val="both"/>
      </w:pPr>
      <w:r>
        <w:rPr>
          <w:b/>
          <w:sz w:val="28"/>
          <w:rtl/>
        </w:rPr>
        <w:t>מסמך רציונל לקורס בלוקצ'יין ומערכות קריפטוגרפיות מבוזרות</w:t>
      </w:r>
    </w:p>
    <w:p>
      <w:pPr>
        <w:jc w:val="left"/>
      </w:pPr>
      <w:r>
        <w:rPr>
          <w:b/>
        </w:rPr>
        <w:t>Blockchain and Decentralized Cryptographic Systems</w:t>
      </w:r>
    </w:p>
    <w:p>
      <w:pPr>
        <w:bidi/>
        <w:jc w:val="both"/>
      </w:pPr>
      <w:r>
        <w:rPr>
          <w:b w:val="0"/>
          <w:rtl/>
        </w:rPr>
        <w:t>הקורס נדרש משום שבלוקצ'יין איננו רק נושא תיאורטי בקריפטוגרפיה או במערכות מבוזרות, אלא תחום הנדסי שבו החלטות תכן, מימוש ואבטחה משפיעות ישירות על נכסים דיגיטליים, אמון, ממשל ותשתיות פיננסיות. סטודנטים במדעי המחשב זקוקים להבנה מעשית של הרכיבים: רשת P2P, עסקאות, קונצנזוס, חוזים חכמים, ארנקים, טוקנים, DApps ו-DeFi.</w:t>
      </w:r>
    </w:p>
    <w:p>
      <w:pPr>
        <w:bidi/>
        <w:jc w:val="both"/>
      </w:pPr>
      <w:r>
        <w:rPr>
          <w:b w:val="0"/>
          <w:rtl/>
        </w:rPr>
        <w:t>הקורס משמר ראייה רחבה של תשתיות ופרקטיקה בבלוקצ'יין, כולל שוק הקריפטו, ICO, Ethereum, DApps, רשתות חלופיות ויישומי עולם אמיתי, ומעדכן אותה בפרקטיקות הנדרשות כיום: בדיקות חוזים חכמים, fuzzing, static analysis, ביקורת קוד, ניתוח התקפות reentrancy, oracle ו-flash loan, ושימוש בכלים מודרניים כמו Foundry, Hardhat, Slither, Echidna, Tenderly, IPFS ו-Chainlink.</w:t>
      </w:r>
    </w:p>
    <w:p>
      <w:pPr>
        <w:bidi/>
        <w:jc w:val="both"/>
      </w:pPr>
      <w:r>
        <w:rPr>
          <w:b w:val="0"/>
          <w:rtl/>
        </w:rPr>
        <w:t>הקורס מתאים לשנה ג' משום שהוא מחבר בין מבני נתונים, תכנות מונחה עצמים, קריפטוגרפיה, רשתות ומערכות מבוזרות לכדי פרויקט הנדסי אחד. התוצר הסופי מחייב את הסטודנט לבנות, לבדוק, להסביר ולהגן על מערכת מבוזרת עובדת ודוח ביקורת אבטחה.</w:t>
      </w:r>
    </w:p>
    <w:sectPr w:rsidR="00FC693F" w:rsidRPr="0006063C" w:rsidSect="00034616">
      <w:headerReference w:type="default" r:id="rId9"/>
      <w:pgSz w:w="11906" w:h="16838"/>
      <w:pgMar w:top="1417" w:right="1701" w:bottom="1417" w:left="1701" w:header="720" w:footer="720" w:gutter="0"/>
      <w:cols w:space="720"/>
      <w:bidi/>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drawing>
        <wp:inline xmlns:a="http://schemas.openxmlformats.org/drawingml/2006/main" xmlns:pic="http://schemas.openxmlformats.org/drawingml/2006/picture">
          <wp:extent cx="1554480" cy="949178"/>
          <wp:docPr id="1" name="Picture 1"/>
          <wp:cNvGraphicFramePr>
            <a:graphicFrameLocks noChangeAspect="1"/>
          </wp:cNvGraphicFramePr>
          <a:graphic>
            <a:graphicData uri="http://schemas.openxmlformats.org/drawingml/2006/picture">
              <pic:pic>
                <pic:nvPicPr>
                  <pic:cNvPr id="0" name="hit-logo.png"/>
                  <pic:cNvPicPr/>
                </pic:nvPicPr>
                <pic:blipFill>
                  <a:blip r:embed="rId1"/>
                  <a:stretch>
                    <a:fillRect/>
                  </a:stretch>
                </pic:blipFill>
                <pic:spPr>
                  <a:xfrm>
                    <a:off x="0" y="0"/>
                    <a:ext cx="1554480" cy="949178"/>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